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7" w:rsidRPr="0068612A" w:rsidRDefault="00EF1A37" w:rsidP="00EF1A37">
      <w:pPr>
        <w:bidi w:val="0"/>
        <w:rPr>
          <w:rFonts w:ascii="Traditional Arabic" w:hAnsi="Traditional Arabic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W w:w="8208" w:type="dxa"/>
        <w:tblLayout w:type="fixed"/>
        <w:tblLook w:val="04A0" w:firstRow="1" w:lastRow="0" w:firstColumn="1" w:lastColumn="0" w:noHBand="0" w:noVBand="1"/>
      </w:tblPr>
      <w:tblGrid>
        <w:gridCol w:w="8208"/>
      </w:tblGrid>
      <w:tr w:rsidR="0068612A" w:rsidRPr="0068612A" w:rsidTr="000376E4">
        <w:tc>
          <w:tcPr>
            <w:tcW w:w="8208" w:type="dxa"/>
          </w:tcPr>
          <w:p w:rsidR="00EF1A37" w:rsidRPr="0068612A" w:rsidRDefault="00EF1A37" w:rsidP="000376E4">
            <w:pPr>
              <w:spacing w:before="120" w:after="120"/>
              <w:contextualSpacing/>
              <w:jc w:val="center"/>
              <w:rPr>
                <w:rFonts w:ascii="Traditional Arabic" w:hAnsi="Traditional Arabic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:rsidR="00F66DA3" w:rsidRPr="0068612A" w:rsidRDefault="00F66DA3" w:rsidP="000376E4">
            <w:pPr>
              <w:spacing w:before="120" w:after="120"/>
              <w:contextualSpacing/>
              <w:rPr>
                <w:rFonts w:ascii="Traditional Arabic" w:hAnsi="Traditional Arabic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:rsidR="00EF1A37" w:rsidRPr="0068612A" w:rsidRDefault="00EF1A37" w:rsidP="000376E4">
            <w:pPr>
              <w:spacing w:before="120" w:after="120"/>
              <w:contextualSpacing/>
              <w:rPr>
                <w:rFonts w:ascii="Traditional Arabic" w:hAnsi="Traditional Arabic"/>
                <w:color w:val="000000" w:themeColor="text1"/>
                <w:sz w:val="20"/>
                <w:szCs w:val="20"/>
                <w:rtl/>
              </w:rPr>
            </w:pPr>
            <w:r w:rsidRPr="0068612A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التاريخ</w:t>
            </w:r>
            <w:r w:rsidRPr="0068612A">
              <w:rPr>
                <w:rFonts w:ascii="Traditional Arabic" w:hAnsi="Traditional Arabic"/>
                <w:color w:val="000000" w:themeColor="text1"/>
                <w:sz w:val="20"/>
                <w:szCs w:val="20"/>
                <w:rtl/>
              </w:rPr>
              <w:t>:</w:t>
            </w:r>
            <w:r w:rsidRPr="0068612A">
              <w:rPr>
                <w:rFonts w:ascii="Traditional Arabic" w:hAnsi="Traditional Arabic"/>
                <w:color w:val="000000" w:themeColor="text1"/>
                <w:sz w:val="20"/>
                <w:szCs w:val="20"/>
              </w:rPr>
              <w:t xml:space="preserve"> </w:t>
            </w:r>
            <w:r w:rsidRPr="0068612A">
              <w:rPr>
                <w:rFonts w:ascii="Effra" w:hAnsi="Effra" w:cs="Effra"/>
                <w:color w:val="000000" w:themeColor="text1"/>
                <w:sz w:val="20"/>
                <w:szCs w:val="20"/>
              </w:rPr>
              <w:t>Date</w:t>
            </w:r>
            <w:r w:rsidRPr="0068612A">
              <w:rPr>
                <w:rFonts w:ascii="Traditional Arabic" w:hAnsi="Traditional Arabic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68612A" w:rsidRPr="0068612A" w:rsidTr="000376E4">
        <w:tc>
          <w:tcPr>
            <w:tcW w:w="8208" w:type="dxa"/>
          </w:tcPr>
          <w:p w:rsidR="00EF1A37" w:rsidRPr="0068612A" w:rsidRDefault="00F55D68" w:rsidP="00F55D68">
            <w:pPr>
              <w:contextualSpacing/>
              <w:rPr>
                <w:rFonts w:ascii="Traditional Arabic" w:hAnsi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8612A">
              <w:rPr>
                <w:rFonts w:ascii="TheSansArabic Plain" w:hAnsi="TheSansArabic Plain" w:cs="TheSansArabic Plain"/>
                <w:b/>
                <w:bCs/>
                <w:color w:val="000000" w:themeColor="text1"/>
                <w:sz w:val="20"/>
                <w:szCs w:val="20"/>
                <w:rtl/>
              </w:rPr>
              <w:t>إلى</w:t>
            </w:r>
            <w:r w:rsidRPr="0068612A">
              <w:rPr>
                <w:rFonts w:ascii="Traditional Arabic" w:hAnsi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EF1A37" w:rsidRPr="0068612A">
              <w:rPr>
                <w:rFonts w:ascii="Traditional Arabic" w:hAnsi="Traditional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F1A37" w:rsidRPr="0068612A">
              <w:rPr>
                <w:rFonts w:ascii="Effra" w:hAnsi="Effra" w:cs="Effra"/>
                <w:b/>
                <w:bCs/>
                <w:color w:val="000000" w:themeColor="text1"/>
                <w:sz w:val="20"/>
                <w:szCs w:val="20"/>
              </w:rPr>
              <w:t xml:space="preserve">[] To: </w:t>
            </w:r>
          </w:p>
          <w:p w:rsidR="00EF1A37" w:rsidRPr="00E964BC" w:rsidRDefault="00EF1A37" w:rsidP="00F55D68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إشارة إلى إجراءات مركز إيداع الأوراق المالية نرفق لكم تقريراً مفصلاً يوضح المستحقات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t xml:space="preserve"> 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النقدية الناتجة عن الصفقات المتعثرة بين (اسم </w:t>
            </w:r>
            <w:proofErr w:type="gramStart"/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الشركة )</w:t>
            </w:r>
            <w:proofErr w:type="gramEnd"/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وبين ( اسم الشركة )، بصفتهم بائعين أو مشترين، وذلك فيما يتعلق بــــــــ </w:t>
            </w:r>
          </w:p>
          <w:p w:rsidR="00EF1A37" w:rsidRPr="00E964BC" w:rsidRDefault="00EF1A37" w:rsidP="00F55D68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Reference to 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the Securities C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entre Procedures, please find attached the detailed report that reflects the cash receivables/ payable resulted from failed trades between (Company Name) and (Company Name) as buyers/sellers in relation to the following: </w:t>
            </w:r>
          </w:p>
          <w:p w:rsidR="00EF1A37" w:rsidRPr="00E964BC" w:rsidRDefault="00EF1A37" w:rsidP="000376E4">
            <w:pPr>
              <w:contextualSpacing/>
              <w:jc w:val="both"/>
              <w:rPr>
                <w:rFonts w:ascii="Traditional Arabic" w:hAnsi="Traditional Arabic"/>
                <w:color w:val="000000" w:themeColor="text1"/>
                <w:sz w:val="20"/>
                <w:szCs w:val="20"/>
                <w:rtl/>
              </w:rPr>
            </w:pPr>
          </w:p>
          <w:p w:rsidR="00EF1A37" w:rsidRPr="00E964BC" w:rsidRDefault="00EF1A37" w:rsidP="000376E4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sym w:font="Wingdings" w:char="F06F"/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الأرباح النقدية </w:t>
            </w:r>
          </w:p>
          <w:p w:rsidR="00EF1A37" w:rsidRPr="00E964BC" w:rsidRDefault="00EF1A37" w:rsidP="000376E4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sym w:font="Wingdings" w:char="F06F"/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كسور الأسهم </w:t>
            </w:r>
          </w:p>
          <w:p w:rsidR="00EF1A37" w:rsidRPr="00E964BC" w:rsidRDefault="00EF1A37" w:rsidP="000376E4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sym w:font="Wingdings" w:char="F06F"/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Cash Dividends</w:t>
            </w:r>
          </w:p>
          <w:p w:rsidR="00EF1A37" w:rsidRPr="00E964BC" w:rsidRDefault="00EF1A37" w:rsidP="000376E4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sym w:font="Wingdings" w:char="F06F"/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Fractions in Securities.</w:t>
            </w:r>
          </w:p>
          <w:p w:rsidR="00EF1A37" w:rsidRPr="00E964BC" w:rsidRDefault="00EF1A37" w:rsidP="000376E4">
            <w:pPr>
              <w:contextualSpacing/>
              <w:jc w:val="both"/>
              <w:rPr>
                <w:rFonts w:ascii="Traditional Arabic" w:hAnsi="Traditional Arabic"/>
                <w:color w:val="000000" w:themeColor="text1"/>
                <w:sz w:val="20"/>
                <w:szCs w:val="20"/>
                <w:rtl/>
              </w:rPr>
            </w:pPr>
          </w:p>
          <w:p w:rsidR="00EF1A37" w:rsidRPr="00E964BC" w:rsidRDefault="00EF1A37" w:rsidP="000376E4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يرجى منكم استكمال تسوية هذه المطالبات </w:t>
            </w:r>
            <w:r w:rsidR="000E030A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بين عملائكم 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حسب التفاصيل الموضحة في المرفق، علماً بأن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t>:</w:t>
            </w:r>
          </w:p>
          <w:p w:rsidR="00EF1A37" w:rsidRPr="00E964BC" w:rsidRDefault="00EF1A37" w:rsidP="00E964BC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66DA3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سيقوم مركز</w:t>
            </w:r>
            <w:r w:rsidR="00F55D68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إيداع الأوراق المالية ("</w:t>
            </w:r>
            <w:r w:rsidR="00E964BC">
              <w:rPr>
                <w:rFonts w:ascii="TheSansArabic Plain" w:hAnsi="TheSansArabic Plain" w:cs="TheSansArabic Plain" w:hint="cs"/>
                <w:color w:val="000000" w:themeColor="text1"/>
                <w:sz w:val="20"/>
                <w:szCs w:val="20"/>
                <w:rtl/>
              </w:rPr>
              <w:t>إيداع</w:t>
            </w:r>
            <w:r w:rsidR="00F55D68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")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E030A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إيداع</w:t>
            </w:r>
            <w:r w:rsidR="000E030A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t>/</w:t>
            </w:r>
            <w:r w:rsidR="000E030A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خصم </w:t>
            </w:r>
            <w:r w:rsidR="00246EE5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ل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مبالغ بعد يوم عمل واحد من يوم التوزيع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  <w:t xml:space="preserve"> 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وذلك بتاريخ (يوم/شهر/</w:t>
            </w:r>
            <w:r w:rsidR="00F66DA3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سنة)</w:t>
            </w:r>
            <w:r w:rsidR="00F55D68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، و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ذلك لتسوية الأرباح النقدية</w:t>
            </w:r>
            <w:r w:rsidR="00F55D68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بين أعضاء التسوية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.</w:t>
            </w:r>
          </w:p>
          <w:p w:rsidR="00EF1A37" w:rsidRPr="00E964BC" w:rsidRDefault="00EF1A37" w:rsidP="00E964BC">
            <w:pPr>
              <w:contextualSpacing/>
              <w:jc w:val="both"/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سيقوم </w:t>
            </w:r>
            <w:r w:rsidR="00E964BC">
              <w:rPr>
                <w:rFonts w:ascii="TheSansArabic Plain" w:hAnsi="TheSansArabic Plain" w:cs="TheSansArabic Plain" w:hint="cs"/>
                <w:color w:val="000000" w:themeColor="text1"/>
                <w:sz w:val="20"/>
                <w:szCs w:val="20"/>
                <w:rtl/>
              </w:rPr>
              <w:t>إيداع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بإيداع/خصم المبالغ بعد خمسة أيام عمل من يوم الاستحقاق وذلك بتاريخ (يوم/شهر/</w:t>
            </w:r>
            <w:r w:rsidR="00F66DA3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سنة)، لإتمام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تسوية تعويضات كسور الأسهم</w:t>
            </w:r>
            <w:r w:rsidR="00A93D49"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 xml:space="preserve"> بين أعضاء التسوية</w:t>
            </w:r>
            <w:r w:rsidRPr="00E964BC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.</w:t>
            </w:r>
          </w:p>
          <w:p w:rsidR="00EF1A37" w:rsidRPr="00E964BC" w:rsidRDefault="00EF1A37" w:rsidP="00F55D68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Please complete the settlement of market claims </w:t>
            </w:r>
            <w:r w:rsidR="001E0C8B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between your clients 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according to </w:t>
            </w:r>
            <w:r w:rsidR="00F66DA3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the attached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details, 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considering that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: </w:t>
            </w:r>
          </w:p>
          <w:p w:rsidR="00EF1A37" w:rsidRPr="00E964BC" w:rsidRDefault="00EF1A37" w:rsidP="00E964BC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The 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Securities Depository 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Centre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(“</w:t>
            </w:r>
            <w:r w:rsid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Edaa</w:t>
            </w:r>
            <w:r w:rsidR="00F55D68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”)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will </w:t>
            </w:r>
            <w:r w:rsidR="001E0C8B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deposit/deduct</w:t>
            </w:r>
            <w:r w:rsidR="001E0C8B" w:rsidRPr="00E964BC">
              <w:rPr>
                <w:rFonts w:ascii="Effra" w:hAnsi="Effra" w:cs="Eff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the </w:t>
            </w:r>
            <w:r w:rsidR="00F66DA3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amount to</w:t>
            </w:r>
            <w:r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settle cash proceeds or cash dividends between Settlement Members on payment day +1 business day (DD/MM/YYYY).</w:t>
            </w:r>
          </w:p>
          <w:p w:rsidR="00EF1A37" w:rsidRPr="0068612A" w:rsidRDefault="00E964BC" w:rsidP="000376E4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>
              <w:rPr>
                <w:rFonts w:ascii="Effra" w:hAnsi="Effra" w:cs="Effra"/>
                <w:color w:val="000000" w:themeColor="text1"/>
                <w:sz w:val="20"/>
                <w:szCs w:val="20"/>
              </w:rPr>
              <w:t>Edaa</w:t>
            </w:r>
            <w:r w:rsidR="00EF1A37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will credit/debit the </w:t>
            </w:r>
            <w:r w:rsidR="00246EE5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>amount to</w:t>
            </w:r>
            <w:r w:rsidR="00EF1A37" w:rsidRPr="00E964BC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settle compensation for fractions between Settlement Members five business days after the record date (DD/MM/YYYY).</w:t>
            </w:r>
            <w:r w:rsidR="00EF1A37" w:rsidRPr="0068612A">
              <w:rPr>
                <w:rFonts w:ascii="Effra" w:hAnsi="Effra" w:cs="Effra"/>
                <w:color w:val="000000" w:themeColor="text1"/>
                <w:sz w:val="20"/>
                <w:szCs w:val="20"/>
              </w:rPr>
              <w:t xml:space="preserve"> </w:t>
            </w:r>
          </w:p>
          <w:p w:rsidR="00EF1A37" w:rsidRPr="0068612A" w:rsidRDefault="00EF1A37" w:rsidP="000376E4">
            <w:pPr>
              <w:contextualSpacing/>
              <w:jc w:val="both"/>
              <w:rPr>
                <w:rFonts w:ascii="Traditional Arabic" w:hAnsi="Traditional Arabic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E7096D" w:rsidRPr="0068612A" w:rsidRDefault="00E7096D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E7096D" w:rsidRPr="0068612A" w:rsidSect="00176D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02" w:rsidRDefault="00B56802" w:rsidP="00F55D68">
      <w:r>
        <w:separator/>
      </w:r>
    </w:p>
  </w:endnote>
  <w:endnote w:type="continuationSeparator" w:id="0">
    <w:p w:rsidR="00B56802" w:rsidRDefault="00B56802" w:rsidP="00F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02" w:rsidRDefault="00B56802" w:rsidP="00F55D68">
      <w:r>
        <w:separator/>
      </w:r>
    </w:p>
  </w:footnote>
  <w:footnote w:type="continuationSeparator" w:id="0">
    <w:p w:rsidR="00B56802" w:rsidRDefault="00B56802" w:rsidP="00F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2A" w:rsidRDefault="00176DD2">
    <w:pPr>
      <w:pStyle w:val="Header"/>
    </w:pPr>
    <w:r w:rsidRPr="0023159F">
      <w:rPr>
        <w:rFonts w:ascii="TheSansArabic Plain" w:hAnsi="TheSansArabic Plain" w:cs="TheSansArabic Plai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7721A8C" wp14:editId="1F716127">
              <wp:simplePos x="0" y="0"/>
              <wp:positionH relativeFrom="column">
                <wp:posOffset>408940</wp:posOffset>
              </wp:positionH>
              <wp:positionV relativeFrom="paragraph">
                <wp:posOffset>-143510</wp:posOffset>
              </wp:positionV>
              <wp:extent cx="3591560" cy="1404620"/>
              <wp:effectExtent l="0" t="0" r="889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12A" w:rsidRPr="00176DD2" w:rsidRDefault="0068612A" w:rsidP="00176DD2">
                          <w:pPr>
                            <w:bidi w:val="0"/>
                            <w:spacing w:line="276" w:lineRule="auto"/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  <w:rtl/>
                            </w:rPr>
                          </w:pPr>
                          <w:r w:rsidRPr="00176DD2"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  <w:rtl/>
                            </w:rPr>
                            <w:t>تقرير مستحقات إجراءات الشركات – مطالبات لأعضاء الحفظ وأعضاء التسوية</w:t>
                          </w:r>
                        </w:p>
                        <w:p w:rsidR="0068612A" w:rsidRPr="00176DD2" w:rsidRDefault="0068612A" w:rsidP="00176DD2">
                          <w:pPr>
                            <w:bidi w:val="0"/>
                            <w:spacing w:line="276" w:lineRule="auto"/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</w:rPr>
                          </w:pPr>
                          <w:r w:rsidRPr="00176DD2"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</w:rPr>
                            <w:t>Corporate Actions Eligibility Reports- Custody &amp; Settlement Members</w:t>
                          </w:r>
                          <w:r w:rsidRPr="00176DD2"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176DD2"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</w:rPr>
                            <w:t>Market Claims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21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.2pt;margin-top:-11.3pt;width:282.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Ua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1bFYok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" stroked="f">
              <v:textbox style="mso-fit-shape-to-text:t">
                <w:txbxContent>
                  <w:p w:rsidR="0068612A" w:rsidRPr="00176DD2" w:rsidRDefault="0068612A" w:rsidP="00176DD2">
                    <w:pPr>
                      <w:bidi w:val="0"/>
                      <w:spacing w:line="276" w:lineRule="auto"/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  <w:rtl/>
                      </w:rPr>
                    </w:pPr>
                    <w:r w:rsidRPr="00176DD2"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  <w:rtl/>
                      </w:rPr>
                      <w:t>تقرير مستحقات إجراءات الشركات – مطالبات لأعضاء الحفظ وأعضاء التسوية</w:t>
                    </w:r>
                  </w:p>
                  <w:p w:rsidR="0068612A" w:rsidRPr="00176DD2" w:rsidRDefault="0068612A" w:rsidP="00176DD2">
                    <w:pPr>
                      <w:bidi w:val="0"/>
                      <w:spacing w:line="276" w:lineRule="auto"/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</w:rPr>
                    </w:pPr>
                    <w:r w:rsidRPr="00176DD2"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</w:rPr>
                      <w:t>Corporate Actions Eligibility Reports- Custody &amp; Settlement Members</w:t>
                    </w:r>
                    <w:r w:rsidRPr="00176DD2"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  <w:rtl/>
                      </w:rPr>
                      <w:t xml:space="preserve"> </w:t>
                    </w:r>
                    <w:r w:rsidRPr="00176DD2"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</w:rPr>
                      <w:t>Market Claims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EE108F7" wp14:editId="2A21C0C7">
          <wp:simplePos x="0" y="0"/>
          <wp:positionH relativeFrom="margin">
            <wp:posOffset>4453890</wp:posOffset>
          </wp:positionH>
          <wp:positionV relativeFrom="paragraph">
            <wp:posOffset>-210820</wp:posOffset>
          </wp:positionV>
          <wp:extent cx="1219835" cy="79565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hzLS+p7E+uZnnTySM5PJ0Jz0LYb2PYtB8ReVJaorhYbMzLoo8jVWMXO3Biy0xtl6OIOet6lG+whj6VXtjcaA==" w:salt="JQ1p0ycuIlr5KrBr/xMN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7"/>
    <w:rsid w:val="00015DB9"/>
    <w:rsid w:val="00080F34"/>
    <w:rsid w:val="000E030A"/>
    <w:rsid w:val="00176DD2"/>
    <w:rsid w:val="001E0C8B"/>
    <w:rsid w:val="00246EE5"/>
    <w:rsid w:val="00647343"/>
    <w:rsid w:val="0068612A"/>
    <w:rsid w:val="006C1711"/>
    <w:rsid w:val="00895F6A"/>
    <w:rsid w:val="00A173BB"/>
    <w:rsid w:val="00A4504F"/>
    <w:rsid w:val="00A93D49"/>
    <w:rsid w:val="00B56802"/>
    <w:rsid w:val="00C13CE1"/>
    <w:rsid w:val="00E7096D"/>
    <w:rsid w:val="00E964BC"/>
    <w:rsid w:val="00EF1A37"/>
    <w:rsid w:val="00F00C4D"/>
    <w:rsid w:val="00F55D68"/>
    <w:rsid w:val="00F66DA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C542F"/>
  <w15:docId w15:val="{3FCF6B0E-E2CD-4343-9560-4A80944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37"/>
    <w:pPr>
      <w:bidi/>
      <w:spacing w:after="0" w:line="240" w:lineRule="auto"/>
    </w:pPr>
    <w:rPr>
      <w:rFonts w:ascii="Arial" w:eastAsia="Times New Roman" w:hAnsi="Arial" w:cs="Traditional Arabi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55D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68"/>
    <w:rPr>
      <w:rFonts w:ascii="Arial" w:eastAsia="Times New Roman" w:hAnsi="Arial" w:cs="Traditional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5D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1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711"/>
    <w:rPr>
      <w:rFonts w:ascii="Arial" w:eastAsia="Times New Roman" w:hAnsi="Arial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711"/>
    <w:rPr>
      <w:rFonts w:ascii="Arial" w:eastAsia="Times New Roman" w:hAnsi="Arial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2A"/>
    <w:rPr>
      <w:rFonts w:ascii="Arial" w:eastAsia="Times New Roman" w:hAnsi="Arial" w:cs="Traditional Arabic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86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2A"/>
    <w:rPr>
      <w:rFonts w:ascii="Arial" w:eastAsia="Times New Roman" w:hAnsi="Arial" w:cs="Traditional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34D6-E975-4A08-A70C-8F1A118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A. Al Munajem</dc:creator>
  <cp:lastModifiedBy>Noura A. Al Ghamdi</cp:lastModifiedBy>
  <cp:revision>4</cp:revision>
  <dcterms:created xsi:type="dcterms:W3CDTF">2021-09-15T05:34:00Z</dcterms:created>
  <dcterms:modified xsi:type="dcterms:W3CDTF">2021-09-15T08:52:00Z</dcterms:modified>
</cp:coreProperties>
</file>